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АДМИНИСТРАЦИЯ БЕРЕЗОВСКОГО СЕЛЬСКОГО ПОСЕЛЕНИЯ</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ДАНИЛОВСКОГО МУНИЦИПАЛЬНОГО РАЙОНА</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ВОЛГОГРАДСКОЙ ОБЛАСТИ</w:t>
      </w:r>
    </w:p>
    <w:p>
      <w:pPr>
        <w:spacing w:before="0" w:after="0" w:line="240"/>
        <w:ind w:right="0" w:left="0" w:firstLine="0"/>
        <w:jc w:val="center"/>
        <w:rPr>
          <w:rFonts w:ascii="Times New Roman" w:hAnsi="Times New Roman" w:cs="Times New Roman" w:eastAsia="Times New Roman"/>
          <w:i/>
          <w:color w:val="auto"/>
          <w:spacing w:val="0"/>
          <w:position w:val="0"/>
          <w:sz w:val="20"/>
          <w:u w:val="single"/>
          <w:shd w:fill="auto" w:val="clear"/>
        </w:rPr>
      </w:pPr>
      <w:r>
        <w:rPr>
          <w:rFonts w:ascii="Times New Roman" w:hAnsi="Times New Roman" w:cs="Times New Roman" w:eastAsia="Times New Roman"/>
          <w:i/>
          <w:color w:val="auto"/>
          <w:spacing w:val="0"/>
          <w:position w:val="0"/>
          <w:sz w:val="20"/>
          <w:u w:val="single"/>
          <w:shd w:fill="auto" w:val="clear"/>
        </w:rPr>
        <w:t xml:space="preserve">403385, </w:t>
      </w:r>
      <w:r>
        <w:rPr>
          <w:rFonts w:ascii="Times New Roman" w:hAnsi="Times New Roman" w:cs="Times New Roman" w:eastAsia="Times New Roman"/>
          <w:i/>
          <w:color w:val="auto"/>
          <w:spacing w:val="0"/>
          <w:position w:val="0"/>
          <w:sz w:val="20"/>
          <w:u w:val="single"/>
          <w:shd w:fill="auto" w:val="clear"/>
        </w:rPr>
        <w:t xml:space="preserve">Волгоградская область, Даниловский район, ст. Березовская, ул. Недорубова, 31, тел. (факс) 5-41-11,</w:t>
      </w:r>
    </w:p>
    <w:p>
      <w:pPr>
        <w:spacing w:before="0" w:after="0" w:line="240"/>
        <w:ind w:right="0" w:left="0" w:firstLine="0"/>
        <w:jc w:val="center"/>
        <w:rPr>
          <w:rFonts w:ascii="Times New Roman" w:hAnsi="Times New Roman" w:cs="Times New Roman" w:eastAsia="Times New Roman"/>
          <w:i/>
          <w:color w:val="auto"/>
          <w:spacing w:val="0"/>
          <w:position w:val="0"/>
          <w:sz w:val="20"/>
          <w:u w:val="single"/>
          <w:shd w:fill="auto" w:val="clear"/>
        </w:rPr>
      </w:pPr>
      <w:r>
        <w:rPr>
          <w:rFonts w:ascii="Times New Roman" w:hAnsi="Times New Roman" w:cs="Times New Roman" w:eastAsia="Times New Roman"/>
          <w:i/>
          <w:color w:val="auto"/>
          <w:spacing w:val="0"/>
          <w:position w:val="0"/>
          <w:sz w:val="20"/>
          <w:u w:val="single"/>
          <w:shd w:fill="auto" w:val="clear"/>
        </w:rPr>
        <w:t xml:space="preserve">5-42-31</w:t>
      </w:r>
    </w:p>
    <w:p>
      <w:pPr>
        <w:spacing w:before="240" w:after="0" w:line="240"/>
        <w:ind w:right="0" w:left="0" w:firstLine="0"/>
        <w:jc w:val="left"/>
        <w:rPr>
          <w:rFonts w:ascii="Calibri" w:hAnsi="Calibri" w:cs="Calibri" w:eastAsia="Calibri"/>
          <w:color w:val="auto"/>
          <w:spacing w:val="0"/>
          <w:position w:val="0"/>
          <w:sz w:val="22"/>
          <w:shd w:fill="auto" w:val="clear"/>
        </w:rPr>
      </w:pPr>
    </w:p>
    <w:p>
      <w:pPr>
        <w:spacing w:before="24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ПОСТАНОВЛЕНИЕ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29 сентября 2014 года         № 51.б</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Порядке формирования, утверждения и ведения планов закупок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для обеспечения муниципальных нужд Березовского сельского поселения Даниловского муниципального района Волгоградской области</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center" w:pos="4677" w:leader="none"/>
          <w:tab w:val="right" w:pos="9355"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реализации положений Федерального закона от 05.04.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21.11.2013 года № 1043 "</w:t>
      </w:r>
      <w:r>
        <w:rPr>
          <w:rFonts w:ascii="Times New Roman" w:hAnsi="Times New Roman" w:cs="Times New Roman" w:eastAsia="Times New Roman"/>
          <w:color w:val="000000"/>
          <w:spacing w:val="0"/>
          <w:position w:val="0"/>
          <w:sz w:val="28"/>
          <w:shd w:fill="auto" w:val="clear"/>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администрация Березовского сельского поселения Даниловского муниципального района Волгоградской области </w:t>
      </w:r>
    </w:p>
    <w:p>
      <w:pPr>
        <w:tabs>
          <w:tab w:val="center" w:pos="4677" w:leader="none"/>
          <w:tab w:val="right" w:pos="9355"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ПОСТАНОВЛЯЕТ:</w:t>
      </w:r>
      <w:r>
        <w:rPr>
          <w:rFonts w:ascii="Times New Roman" w:hAnsi="Times New Roman" w:cs="Times New Roman" w:eastAsia="Times New Roman"/>
          <w:color w:val="000000"/>
          <w:spacing w:val="0"/>
          <w:position w:val="0"/>
          <w:sz w:val="28"/>
          <w:shd w:fill="auto" w:val="clear"/>
        </w:rPr>
        <w:br/>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Порядок формирования, утверждения и ведения планов закупок товаров, работ, услуг для обеспечения муниципальных нужд Березовского сельского поселения Даниловского муниципального района Волгоградской области согласно приложению 1.</w:t>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Утвердить форму плана закупок товаров, работ, услуг для обеспечения муниципальных нужд Березовского сельского поселения Даниловского муниципального района Волгоградской области согласно приложению 2. </w:t>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 1 января 2015 года.</w:t>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Контроль по исполнению постановления возложить на  специалиста администрации Березовского сельского поселения Баранову Л.Л.</w:t>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постановление подлежит официальному опубликованию</w:t>
      </w:r>
    </w:p>
    <w:p>
      <w:pPr>
        <w:tabs>
          <w:tab w:val="center" w:pos="4677" w:leader="none"/>
          <w:tab w:val="right" w:pos="9355" w:leader="none"/>
        </w:tabs>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обнародованию).</w:t>
      </w:r>
    </w:p>
    <w:p>
      <w:pPr>
        <w:spacing w:before="0" w:after="200" w:line="276"/>
        <w:ind w:right="29"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Глава  администрации Березовского сельского </w:t>
      </w:r>
    </w:p>
    <w:p>
      <w:pPr>
        <w:spacing w:before="0" w:after="200" w:line="276"/>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поселения                                  ___________________В.М.Полосминников.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Приложение №1</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Березовского сельского поселения</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29 сентября 2014 года №51.б</w:t>
      </w:r>
    </w:p>
    <w:p>
      <w:pPr>
        <w:spacing w:before="0" w:after="0" w:line="276"/>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формирования, утверждения и ведения планов закупок товаров,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работ, услуг для обеспечения муниципальных нужд Березовского сельского поселения Даниловского муниципального района Волгоградской области</w:t>
      </w:r>
    </w:p>
    <w:p>
      <w:pPr>
        <w:spacing w:before="0" w:after="0" w:line="276"/>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Порядок формирования, утверждения и ведения планов закупок товаров, работ, услуг для обеспечения муниципальных нужд Березовского сельского поселения Даниловского муниципального района Волгоградской области (далее - Порядок) разработан в соответствии с положениями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и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Действие Порядка распространяется на следующих лиц, являющихся заказчиками Березовского сельского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Органы местного самоуправления и муниципальные казенные учреждения Березовского сельского поселения (далее - муниципальные заказчики);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Бюджетные учреждения Березовского сельского поселения (далее - бюджетные учреждения), за исключением закупок, осуществляемых в соответствии с частями 2 и 6 статьи 15 Закона № 44-ФЗ; </w:t>
      </w:r>
    </w:p>
    <w:p>
      <w:pPr>
        <w:tabs>
          <w:tab w:val="left" w:pos="1134" w:leader="none"/>
          <w:tab w:val="center" w:pos="4677" w:leader="none"/>
          <w:tab w:val="right" w:pos="93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Автономные учреждения Березовского сельского поселения, муниципальные унитарные предприятия при предоставлении им средств из бюджетов бюджетной системы Российской Федерации на осуществление капитальных вложений в объекты муниципальной собственности, в случае, предусмотренном частью 4 статьи 15 Закона № 44-ФЗ;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Бюджетные, автономные учреждения Березовского сельского поселения, муниципальные унитарные предприятия, осуществляющие полномочия на осуществление закупок в пределах переданных им органами местного самоуправления Березовского сельского поселения полномочий, в случаях, предусмотренных частью 6 статьи 15 Закона № 44-ФЗ.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Планы закупок товаров, работ, услуг для обеспечения муниципальных нужд заказчиков Березовского сельского поселения (далее - планы закупок) формируются на срок, соответствующий сроку действия решения Совета депутатов Березовского сельского поселения "О бюджете Березовского сельского поселения", ежегодно не позднее 20 декабря текущего года.   </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Планы закупок формируются лицами, указанными в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пункте</w:t>
        </w:r>
      </w:hyperlink>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Порядка, с учетом следующих положений:</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Муниципальные заказчики в сроки, установленные главными распорядителями средств бюджета поселения, но не позднее срока, установленного в пункте 3 Порядка: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формируют планы закупок, исходя из целей осуществления закупок, определенных с учетом положений статьи 13 Закона № 44-ФЗ, и представляют их не позднее 1 августа текущего года - главным распорядителям средств бюджета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корректируют при необходимости по согласованию с главными распорядителями средств бюджета поселения планы закупок в процессе составления проекта решения о бюджете поселения; </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 поселения;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Бюджетные учреждения в сроки, установленные органами, осуществляющими функции и полномочия учредителя,</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но не позднее срока, установленного в пункте 3 Порядка: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формируют планы закупок, исходя из целей осуществления закупок, определенных с учетом положений статьи 13 Закона № 44-ФЗ,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поселения;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Юридические лица, указанные в пункте 2.3 Порядка: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уточняют при необходимости планы закупок, после их уточнения и заключения соглашений о предоставлении субсидий утверждают план закупок;</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Юридические лица, указанные в пункте 2.4 Порядка: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Планы закупок утверждаются в течение 10 рабочих дней: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Муниципальными заказчиками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Бюджетными учреждениями - после утверждения планов финансово-хозяйственной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Юридическими лицами, указанными в пункте 2.3 Порядка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Юридическими лицами, указанными в пункте 2.4 Порядка -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 планы закупок муниципальных заказчиков в соответствии с бюджетным законодательством Российской Федерации, а также в планы закупок бюджетных учреждений и юридических лиц, указанных в пункте 2.3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включая годы следующие за плановым периодом, с отражением по ним объема финансового обеспечения и количества планируемых к закупке товаров, работ, услуг общей суммой (количеством).</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Лица, указанные в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пункте </w:t>
        </w:r>
      </w:hyperlink>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Порядка, ведут планы закупок в соответствии с положениями Закона № 44-ФЗ и настоящего Порядка. Основаниями для внесения изменений в утвержденные планы закупок в случаях необходимости являются: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Закона № 44-ФЗ и установленных в соответствии со статьей 19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Приведение планов закупок в соответствие с решениями Совета депутатов Березовского сельского поселения о внесении изменений в решение о бюджете поселения; </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 </w:t>
      </w:r>
      <w:r>
        <w:rPr>
          <w:rFonts w:ascii="Times New Roman" w:hAnsi="Times New Roman" w:cs="Times New Roman" w:eastAsia="Times New Roman"/>
          <w:color w:val="auto"/>
          <w:spacing w:val="0"/>
          <w:position w:val="0"/>
          <w:sz w:val="28"/>
          <w:shd w:fill="auto" w:val="clear"/>
        </w:rPr>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поселения;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Реализация решения, принятого муниципальным заказчиком или юридическим лицом по итогам обязательного общественного обсуждения закупки;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Использование в соответствии с законодательством Российской Федерации экономии, полученной при осуществлении закупки.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План закупок представляет собой единый документ, форма которого включает в том числе:</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полное наименование, местонахождение, телефон и адрес электронной почты муниципального заказчика, юридического лица;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идентификационный номер налогоплательщика;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код причины постановки на учет;</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код по Общероссийскому классификатору территорий муниципальных образований;</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таблицу, включающую в том числе следующую информацию:</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идентификационный код закупки, сформированный в соответствии со статьей 23 Закона № 44-ФЗ;</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 осуществления закупки в соответствии со статьей 13 Закона № 44-ФЗ.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наименование объекта и (или) объектов закупки и описание таких объекта и (или) объектов закупки, которые могут включать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Закона № 44-ФЗ;</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объем финансового обеспечения для осуществления закупки;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сведения об обязательном общественном обсуждении закупки (да или нет) в соответствии со статьей 20 Закона № 44-ФЗ;</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дата, содержание и обоснование вносимых в план закупок изменений;</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Закона № 44-ФЗ,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случае невозможности описания объекта и (или) объектов закупок, количественной оценки объекта и (или) объектов закупки информация, предусматривающая описание таких объектов 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абзацем шестым подпункта </w:t>
        </w:r>
        <w:r>
          <w:rPr>
            <w:rFonts w:ascii="Times New Roman" w:hAnsi="Times New Roman" w:cs="Times New Roman" w:eastAsia="Times New Roman"/>
            <w:vanish/>
            <w:color w:val="0000FF"/>
            <w:spacing w:val="0"/>
            <w:position w:val="0"/>
            <w:sz w:val="28"/>
            <w:u w:val="single"/>
            <w:shd w:fill="auto" w:val="clear"/>
          </w:rPr>
          <w:t xml:space="preserve">HYPERLINK "#Par91"</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"#Par91"</w:t>
        </w:r>
        <w:r>
          <w:rPr>
            <w:rFonts w:ascii="Times New Roman" w:hAnsi="Times New Roman" w:cs="Times New Roman" w:eastAsia="Times New Roman"/>
            <w:color w:val="0000FF"/>
            <w:spacing w:val="0"/>
            <w:position w:val="0"/>
            <w:sz w:val="28"/>
            <w:u w:val="single"/>
            <w:shd w:fill="auto" w:val="clear"/>
          </w:rPr>
          <w:t xml:space="preserve">д</w:t>
        </w:r>
        <w:r>
          <w:rPr>
            <w:rFonts w:ascii="Times New Roman" w:hAnsi="Times New Roman" w:cs="Times New Roman" w:eastAsia="Times New Roman"/>
            <w:vanish/>
            <w:color w:val="0000FF"/>
            <w:spacing w:val="0"/>
            <w:position w:val="0"/>
            <w:sz w:val="28"/>
            <w:u w:val="single"/>
            <w:shd w:fill="auto" w:val="clear"/>
          </w:rPr>
          <w:t xml:space="preserve">HYPERLINK "#Par91"</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"#Par91"</w:t>
        </w:r>
        <w:r>
          <w:rPr>
            <w:rFonts w:ascii="Times New Roman" w:hAnsi="Times New Roman" w:cs="Times New Roman" w:eastAsia="Times New Roman"/>
            <w:color w:val="0000FF"/>
            <w:spacing w:val="0"/>
            <w:position w:val="0"/>
            <w:sz w:val="28"/>
            <w:u w:val="single"/>
            <w:shd w:fill="auto" w:val="clear"/>
          </w:rPr>
          <w:t xml:space="preserve"> пункта </w:t>
        </w:r>
      </w:hyperlink>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Порядка, обоснование требований к закупаемым товару, работе, услуге в соответствии с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подпунктом </w:t>
        </w:r>
        <w:r>
          <w:rPr>
            <w:rFonts w:ascii="Times New Roman" w:hAnsi="Times New Roman" w:cs="Times New Roman" w:eastAsia="Times New Roman"/>
            <w:vanish/>
            <w:color w:val="0000FF"/>
            <w:spacing w:val="0"/>
            <w:position w:val="0"/>
            <w:sz w:val="28"/>
            <w:u w:val="single"/>
            <w:shd w:fill="auto" w:val="clear"/>
          </w:rPr>
          <w:t xml:space="preserve">HYPERLINK "#Par98"</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"#Par98"</w:t>
        </w:r>
        <w:r>
          <w:rPr>
            <w:rFonts w:ascii="Times New Roman" w:hAnsi="Times New Roman" w:cs="Times New Roman" w:eastAsia="Times New Roman"/>
            <w:color w:val="0000FF"/>
            <w:spacing w:val="0"/>
            <w:position w:val="0"/>
            <w:sz w:val="28"/>
            <w:u w:val="single"/>
            <w:shd w:fill="auto" w:val="clear"/>
          </w:rPr>
          <w:t xml:space="preserve">ж</w:t>
        </w:r>
        <w:r>
          <w:rPr>
            <w:rFonts w:ascii="Times New Roman" w:hAnsi="Times New Roman" w:cs="Times New Roman" w:eastAsia="Times New Roman"/>
            <w:vanish/>
            <w:color w:val="0000FF"/>
            <w:spacing w:val="0"/>
            <w:position w:val="0"/>
            <w:sz w:val="28"/>
            <w:u w:val="single"/>
            <w:shd w:fill="auto" w:val="clear"/>
          </w:rPr>
          <w:t xml:space="preserve">HYPERLINK "#Par98"</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"#Par98"</w:t>
        </w:r>
        <w:r>
          <w:rPr>
            <w:rFonts w:ascii="Times New Roman" w:hAnsi="Times New Roman" w:cs="Times New Roman" w:eastAsia="Times New Roman"/>
            <w:color w:val="0000FF"/>
            <w:spacing w:val="0"/>
            <w:position w:val="0"/>
            <w:sz w:val="28"/>
            <w:u w:val="single"/>
            <w:shd w:fill="auto" w:val="clear"/>
          </w:rPr>
          <w:t xml:space="preserve"> пункта </w:t>
        </w:r>
      </w:hyperlink>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Порядка, а также информация, предусмотренная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абзацами восьмым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девятым подпункта </w:t>
        </w:r>
        <w:r>
          <w:rPr>
            <w:rFonts w:ascii="Times New Roman" w:hAnsi="Times New Roman" w:cs="Times New Roman" w:eastAsia="Times New Roman"/>
            <w:vanish/>
            <w:color w:val="0000FF"/>
            <w:spacing w:val="0"/>
            <w:position w:val="0"/>
            <w:sz w:val="28"/>
            <w:u w:val="single"/>
            <w:shd w:fill="auto" w:val="clear"/>
          </w:rPr>
          <w:t xml:space="preserve">HYPERLINK "#Par94"</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"#Par94"</w:t>
        </w:r>
        <w:r>
          <w:rPr>
            <w:rFonts w:ascii="Times New Roman" w:hAnsi="Times New Roman" w:cs="Times New Roman" w:eastAsia="Times New Roman"/>
            <w:color w:val="0000FF"/>
            <w:spacing w:val="0"/>
            <w:position w:val="0"/>
            <w:sz w:val="28"/>
            <w:u w:val="single"/>
            <w:shd w:fill="auto" w:val="clear"/>
          </w:rPr>
          <w:t xml:space="preserve">д</w:t>
        </w:r>
        <w:r>
          <w:rPr>
            <w:rFonts w:ascii="Times New Roman" w:hAnsi="Times New Roman" w:cs="Times New Roman" w:eastAsia="Times New Roman"/>
            <w:vanish/>
            <w:color w:val="0000FF"/>
            <w:spacing w:val="0"/>
            <w:position w:val="0"/>
            <w:sz w:val="28"/>
            <w:u w:val="single"/>
            <w:shd w:fill="auto" w:val="clear"/>
          </w:rPr>
          <w:t xml:space="preserve">HYPERLINK "#Par94"</w:t>
        </w:r>
        <w:r>
          <w:rPr>
            <w:rFonts w:ascii="Times New Roman" w:hAnsi="Times New Roman" w:cs="Times New Roman" w:eastAsia="Times New Roman"/>
            <w:color w:val="0000FF"/>
            <w:spacing w:val="0"/>
            <w:position w:val="0"/>
            <w:sz w:val="28"/>
            <w:u w:val="single"/>
            <w:shd w:fill="auto" w:val="clear"/>
          </w:rPr>
          <w:t xml:space="preserve">"</w:t>
        </w:r>
        <w:r>
          <w:rPr>
            <w:rFonts w:ascii="Times New Roman" w:hAnsi="Times New Roman" w:cs="Times New Roman" w:eastAsia="Times New Roman"/>
            <w:vanish/>
            <w:color w:val="0000FF"/>
            <w:spacing w:val="0"/>
            <w:position w:val="0"/>
            <w:sz w:val="28"/>
            <w:u w:val="single"/>
            <w:shd w:fill="auto" w:val="clear"/>
          </w:rPr>
          <w:t xml:space="preserve">HYPERLINK "#Par94"</w:t>
        </w:r>
        <w:r>
          <w:rPr>
            <w:rFonts w:ascii="Times New Roman" w:hAnsi="Times New Roman" w:cs="Times New Roman" w:eastAsia="Times New Roman"/>
            <w:color w:val="0000FF"/>
            <w:spacing w:val="0"/>
            <w:position w:val="0"/>
            <w:sz w:val="28"/>
            <w:u w:val="single"/>
            <w:shd w:fill="auto" w:val="clear"/>
          </w:rPr>
          <w:t xml:space="preserve"> пункта </w:t>
        </w:r>
      </w:hyperlink>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Порядка, не указываются.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Информация о закупках, которые планируется осуществлять в соответствии с пунктами 4 и 7 части 2 статьи 83 Закона № 44-ФЗ,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преподавательские услуги, оказываемые физическими лицами;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услуги экскурсовода (гида), оказываемые физическими лицами;</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лекарственные препараты.</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Информация о закупках, которые планируется осуществлять в соответствии с пунктами 4 и 5 части 1 статьи 93 Закона № 44-ФЗ,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pPr>
        <w:spacing w:before="0" w:after="0" w:line="240"/>
        <w:ind w:right="0" w:left="0" w:firstLine="74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pPr>
        <w:tabs>
          <w:tab w:val="center" w:pos="4677" w:leader="none"/>
          <w:tab w:val="right" w:pos="9355"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Приложение 2</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УТВЕРЖДЕНА</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Березовского сельского поселения</w:t>
      </w:r>
    </w:p>
    <w:p>
      <w:pPr>
        <w:spacing w:before="0" w:after="0" w:line="240"/>
        <w:ind w:right="0" w:left="4675"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______________ года №_________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Форма плана закупок товаров, работ, услуг для обеспечения муниципальных нужд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Березовско сельского поселения на 20__ финансовый год и плановый период 20__ и 20__ годов</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p>
    <w:tbl>
      <w:tblPr/>
      <w:tblGrid>
        <w:gridCol w:w="9831"/>
        <w:gridCol w:w="339"/>
        <w:gridCol w:w="5085"/>
      </w:tblGrid>
      <w:tr>
        <w:trPr>
          <w:trHeight w:val="241" w:hRule="auto"/>
          <w:jc w:val="center"/>
        </w:trPr>
        <w:tc>
          <w:tcPr>
            <w:tcW w:w="98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 w:type="dxa"/>
            <w:tcBorders>
              <w:top w:val="single" w:color="000000" w:sz="0"/>
              <w:left w:val="single" w:color="000000" w:sz="0"/>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Коды</w:t>
            </w:r>
          </w:p>
        </w:tc>
      </w:tr>
      <w:tr>
        <w:trPr>
          <w:trHeight w:val="241" w:hRule="auto"/>
          <w:jc w:val="center"/>
        </w:trPr>
        <w:tc>
          <w:tcPr>
            <w:tcW w:w="9831" w:type="dxa"/>
            <w:tcBorders>
              <w:top w:val="single" w:color="000000" w:sz="0"/>
              <w:left w:val="single" w:color="000000" w:sz="0"/>
              <w:bottom w:val="single" w:color="00000a" w:sz="5"/>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39" w:type="dxa"/>
            <w:tcBorders>
              <w:top w:val="single" w:color="000000" w:sz="0"/>
              <w:left w:val="single" w:color="000000" w:sz="0"/>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Дата</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vMerge w:val="restart"/>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муниципального заказчика, бюджетного, автономного учреждения или муниципального унитарного предприятия</w:t>
            </w: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 ОКИО</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vMerge/>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ИНН</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Организационно-правовая форма</w:t>
            </w: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КПП</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публично-правового образования</w:t>
            </w: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 ОКОПФ</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vMerge w:val="restart"/>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Местонахождение (адрес), телефон, адрес электронной почты</w:t>
            </w: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 ОКТМО</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vMerge/>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9" w:type="dxa"/>
            <w:tcBorders>
              <w:top w:val="single" w:color="000000" w:sz="0"/>
              <w:left w:val="single" w:color="00000a" w:sz="5"/>
              <w:bottom w:val="single" w:color="000000" w:sz="0"/>
              <w:right w:val="single" w:color="00000a" w:sz="5"/>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изменения</w:t>
            </w:r>
          </w:p>
        </w:tc>
        <w:tc>
          <w:tcPr>
            <w:tcW w:w="5085"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1" w:hRule="auto"/>
          <w:jc w:val="center"/>
        </w:trPr>
        <w:tc>
          <w:tcPr>
            <w:tcW w:w="9831" w:type="dxa"/>
            <w:tcBorders>
              <w:top w:val="single" w:color="00000a" w:sz="5"/>
              <w:left w:val="single" w:color="00000a" w:sz="5"/>
              <w:bottom w:val="single" w:color="00000a" w:sz="5"/>
              <w:right w:val="single" w:color="00000a" w:sz="5"/>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 документа (базовый (0); измененный (порядковый код изменения)</w:t>
            </w:r>
          </w:p>
        </w:tc>
        <w:tc>
          <w:tcPr>
            <w:tcW w:w="339" w:type="dxa"/>
            <w:tcBorders>
              <w:top w:val="single" w:color="000000" w:sz="0"/>
              <w:left w:val="single" w:color="00000a" w:sz="5"/>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5085" w:type="dxa"/>
            <w:tcBorders>
              <w:top w:val="single" w:color="00000a" w:sz="5"/>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759"/>
        <w:gridCol w:w="760"/>
        <w:gridCol w:w="760"/>
        <w:gridCol w:w="760"/>
        <w:gridCol w:w="760"/>
        <w:gridCol w:w="760"/>
        <w:gridCol w:w="760"/>
        <w:gridCol w:w="497"/>
        <w:gridCol w:w="263"/>
        <w:gridCol w:w="760"/>
        <w:gridCol w:w="382"/>
        <w:gridCol w:w="378"/>
        <w:gridCol w:w="224"/>
        <w:gridCol w:w="536"/>
        <w:gridCol w:w="668"/>
        <w:gridCol w:w="550"/>
        <w:gridCol w:w="760"/>
        <w:gridCol w:w="353"/>
        <w:gridCol w:w="407"/>
        <w:gridCol w:w="760"/>
        <w:gridCol w:w="550"/>
        <w:gridCol w:w="623"/>
        <w:gridCol w:w="760"/>
        <w:gridCol w:w="760"/>
        <w:gridCol w:w="550"/>
        <w:gridCol w:w="666"/>
        <w:gridCol w:w="760"/>
        <w:gridCol w:w="727"/>
        <w:gridCol w:w="550"/>
      </w:tblGrid>
      <w:tr>
        <w:trPr>
          <w:trHeight w:val="320" w:hRule="auto"/>
          <w:jc w:val="left"/>
        </w:trPr>
        <w:tc>
          <w:tcPr>
            <w:tcW w:w="759" w:type="dxa"/>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п/п</w:t>
            </w:r>
          </w:p>
        </w:tc>
        <w:tc>
          <w:tcPr>
            <w:tcW w:w="760" w:type="dxa"/>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Иден-</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тифи-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каци-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онный</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код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купки</w:t>
            </w:r>
          </w:p>
        </w:tc>
        <w:tc>
          <w:tcPr>
            <w:tcW w:w="760" w:type="dxa"/>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Цель осуществления закупки</w:t>
            </w:r>
          </w:p>
        </w:tc>
        <w:tc>
          <w:tcPr>
            <w:tcW w:w="760" w:type="dxa"/>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закупки </w:t>
            </w:r>
          </w:p>
        </w:tc>
        <w:tc>
          <w:tcPr>
            <w:tcW w:w="760" w:type="dxa"/>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Объем финансового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обеспечения (тыс. рублей)</w:t>
            </w:r>
          </w:p>
        </w:tc>
        <w:tc>
          <w:tcPr>
            <w:tcW w:w="760" w:type="dxa"/>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Единица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измерения</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объекта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закупки </w:t>
            </w:r>
          </w:p>
        </w:tc>
        <w:tc>
          <w:tcPr>
            <w:tcW w:w="760" w:type="dxa"/>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Количество (объем)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планируемых к закупке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товаров, работ, услуг  </w:t>
            </w:r>
          </w:p>
        </w:tc>
        <w:tc>
          <w:tcPr>
            <w:tcW w:w="760" w:type="dxa"/>
            <w:gridSpan w:val="2"/>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Сроки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перио-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дичность)</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осущест-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вления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планиру-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емых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закупок  </w:t>
            </w:r>
          </w:p>
        </w:tc>
        <w:tc>
          <w:tcPr>
            <w:tcW w:w="760" w:type="dxa"/>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Дополнительная  информация в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соответствии с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пунктом 7 части</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2 </w:t>
            </w:r>
            <w:r>
              <w:rPr>
                <w:rFonts w:ascii="Times New Roman" w:hAnsi="Times New Roman" w:cs="Times New Roman" w:eastAsia="Times New Roman"/>
                <w:color w:val="auto"/>
                <w:spacing w:val="0"/>
                <w:position w:val="0"/>
                <w:sz w:val="20"/>
                <w:shd w:fill="auto" w:val="clear"/>
              </w:rPr>
              <w:t xml:space="preserve">статьи 17 44-ФЗ     </w:t>
            </w:r>
          </w:p>
        </w:tc>
        <w:tc>
          <w:tcPr>
            <w:tcW w:w="760" w:type="dxa"/>
            <w:gridSpan w:val="2"/>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Информация</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 проведе-</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нии об-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щественно-</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го обсуж-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дения за-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купки (да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или нет)  </w:t>
            </w:r>
          </w:p>
        </w:tc>
        <w:tc>
          <w:tcPr>
            <w:tcW w:w="760" w:type="dxa"/>
            <w:gridSpan w:val="2"/>
            <w:vMerge w:val="restart"/>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Обосно-</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вание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внесе-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ния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измене-</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ний    </w:t>
            </w:r>
          </w:p>
        </w:tc>
        <w:tc>
          <w:tcPr>
            <w:tcW w:w="9444" w:type="dxa"/>
            <w:gridSpan w:val="15"/>
            <w:tcBorders>
              <w:top w:val="single" w:color="000000" w:sz="0"/>
              <w:left w:val="single" w:color="000000" w:sz="0"/>
              <w:bottom w:val="single" w:color="000000" w:sz="0"/>
              <w:right w:val="single" w:color="000000" w:sz="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все-</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том числе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все-</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том числе     </w:t>
            </w:r>
          </w:p>
        </w:tc>
        <w:tc>
          <w:tcPr>
            <w:tcW w:w="760" w:type="dxa"/>
            <w:gridSpan w:val="2"/>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8"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226" w:type="dxa"/>
            <w:gridSpan w:val="13"/>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наименование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мероприятия  </w:t>
            </w: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муниципальной</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программы либо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непрограммные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направления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деятельности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функции,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полномочия)  </w:t>
            </w:r>
          </w:p>
        </w:tc>
        <w:tc>
          <w:tcPr>
            <w:tcW w:w="760" w:type="dxa"/>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ожидаемый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результат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реализации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мероприя-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тия муни-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ципальной</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программы)</w:t>
            </w:r>
          </w:p>
          <w:p>
            <w:pPr>
              <w:spacing w:before="0" w:after="200" w:line="276"/>
              <w:ind w:right="0" w:left="0" w:firstLine="0"/>
              <w:jc w:val="left"/>
              <w:rPr>
                <w:spacing w:val="0"/>
                <w:position w:val="0"/>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0"/>
                  <w:u w:val="single"/>
                  <w:shd w:fill="auto" w:val="clear"/>
                </w:rPr>
                <w:t xml:space="preserve">&lt;</w:t>
              </w:r>
              <w:r>
                <w:rPr>
                  <w:rFonts w:ascii="Times New Roman" w:hAnsi="Times New Roman" w:cs="Times New Roman" w:eastAsia="Times New Roman"/>
                  <w:vanish/>
                  <w:color w:val="0000FF"/>
                  <w:spacing w:val="0"/>
                  <w:position w:val="0"/>
                  <w:sz w:val="20"/>
                  <w:u w:val="single"/>
                  <w:shd w:fill="auto" w:val="clear"/>
                </w:rPr>
                <w:t xml:space="preserve">HYPERLINK "#Par184"</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vanish/>
                  <w:color w:val="0000FF"/>
                  <w:spacing w:val="0"/>
                  <w:position w:val="0"/>
                  <w:sz w:val="20"/>
                  <w:u w:val="single"/>
                  <w:shd w:fill="auto" w:val="clear"/>
                </w:rPr>
                <w:t xml:space="preserve">HYPERLINK "#Par184"</w:t>
              </w:r>
              <w:r>
                <w:rPr>
                  <w:rFonts w:ascii="Times New Roman" w:hAnsi="Times New Roman" w:cs="Times New Roman" w:eastAsia="Times New Roman"/>
                  <w:color w:val="0000FF"/>
                  <w:spacing w:val="0"/>
                  <w:position w:val="0"/>
                  <w:sz w:val="20"/>
                  <w:u w:val="single"/>
                  <w:shd w:fill="auto" w:val="clear"/>
                </w:rPr>
                <w:t xml:space="preserve">&gt;</w:t>
              </w:r>
            </w:hyperlink>
          </w:p>
        </w:tc>
        <w:tc>
          <w:tcPr>
            <w:tcW w:w="760" w:type="dxa"/>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ние </w:t>
            </w:r>
          </w:p>
        </w:tc>
        <w:tc>
          <w:tcPr>
            <w:tcW w:w="760" w:type="dxa"/>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опи-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ние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теку-</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щий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фи-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нан-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совый</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плановый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период  </w:t>
            </w: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пос-</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ле-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дую-</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щие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годы</w:t>
            </w:r>
          </w:p>
        </w:tc>
        <w:tc>
          <w:tcPr>
            <w:tcW w:w="760" w:type="dxa"/>
            <w:gridSpan w:val="2"/>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код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ОКЕИ</w:t>
            </w:r>
          </w:p>
        </w:tc>
        <w:tc>
          <w:tcPr>
            <w:tcW w:w="1218" w:type="dxa"/>
            <w:gridSpan w:val="2"/>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наи-</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но-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ва-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ние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vMerge w:val="restart"/>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теку-</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щий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фи-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нан-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совый</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плановый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период  </w:t>
            </w:r>
          </w:p>
        </w:tc>
        <w:tc>
          <w:tcPr>
            <w:tcW w:w="117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пос-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леду-</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ющие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годы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13" w:type="dxa"/>
            <w:gridSpan w:val="6"/>
            <w:tcBorders>
              <w:top w:val="single" w:color="000000" w:sz="0"/>
              <w:left w:val="single" w:color="000000" w:sz="0"/>
              <w:bottom w:val="single" w:color="000000" w:sz="0"/>
              <w:right w:val="single" w:color="000000" w:sz="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0" w:type="dxa"/>
            <w:gridSpan w:val="2"/>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рой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760" w:type="dxa"/>
            <w:gridSpan w:val="2"/>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8" w:type="dxa"/>
            <w:gridSpan w:val="2"/>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vMerge/>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7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пер-</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вый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вто-</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рой </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год </w:t>
            </w:r>
          </w:p>
        </w:tc>
        <w:tc>
          <w:tcPr>
            <w:tcW w:w="4013" w:type="dxa"/>
            <w:gridSpan w:val="6"/>
            <w:tcBorders>
              <w:top w:val="single" w:color="000000" w:sz="0"/>
              <w:left w:val="single" w:color="000000" w:sz="0"/>
              <w:bottom w:val="single" w:color="000000" w:sz="0"/>
              <w:right w:val="single" w:color="000000" w:sz="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2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3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4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5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6 </w:t>
            </w:r>
          </w:p>
        </w:tc>
        <w:tc>
          <w:tcPr>
            <w:tcW w:w="49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7  </w:t>
            </w:r>
          </w:p>
        </w:tc>
        <w:tc>
          <w:tcPr>
            <w:tcW w:w="102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8  </w:t>
            </w:r>
          </w:p>
        </w:tc>
        <w:tc>
          <w:tcPr>
            <w:tcW w:w="382"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9  </w:t>
            </w:r>
          </w:p>
        </w:tc>
        <w:tc>
          <w:tcPr>
            <w:tcW w:w="602"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10 </w:t>
            </w:r>
          </w:p>
        </w:tc>
        <w:tc>
          <w:tcPr>
            <w:tcW w:w="1204"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11 </w:t>
            </w:r>
          </w:p>
        </w:tc>
        <w:tc>
          <w:tcPr>
            <w:tcW w:w="131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12 </w:t>
            </w:r>
          </w:p>
        </w:tc>
        <w:tc>
          <w:tcPr>
            <w:tcW w:w="353"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13 </w:t>
            </w:r>
          </w:p>
        </w:tc>
        <w:tc>
          <w:tcPr>
            <w:tcW w:w="1167"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14 </w:t>
            </w: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15  </w:t>
            </w:r>
          </w:p>
        </w:tc>
        <w:tc>
          <w:tcPr>
            <w:tcW w:w="138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16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17 </w:t>
            </w: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18  </w:t>
            </w:r>
          </w:p>
        </w:tc>
        <w:tc>
          <w:tcPr>
            <w:tcW w:w="1426"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19   </w:t>
            </w:r>
          </w:p>
        </w:tc>
        <w:tc>
          <w:tcPr>
            <w:tcW w:w="72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20       </w:t>
            </w: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21    </w:t>
            </w: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49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02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382"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602"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204"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31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353"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167"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38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426"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2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49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02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382"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602"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204"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31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353"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167"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38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1426"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727"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720"/>
              <w:jc w:val="both"/>
              <w:rPr>
                <w:rFonts w:ascii="Calibri" w:hAnsi="Calibri" w:cs="Calibri" w:eastAsia="Calibri"/>
                <w:color w:val="auto"/>
                <w:spacing w:val="0"/>
                <w:position w:val="0"/>
                <w:sz w:val="22"/>
                <w:shd w:fill="auto" w:val="clear"/>
              </w:rPr>
            </w:pP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Итого по коду БК</w:t>
            </w:r>
          </w:p>
        </w:tc>
        <w:tc>
          <w:tcPr>
            <w:tcW w:w="4560" w:type="dxa"/>
            <w:gridSpan w:val="7"/>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8"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17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216"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277"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r>
      <w:tr>
        <w:trPr>
          <w:trHeight w:val="320" w:hRule="auto"/>
          <w:jc w:val="left"/>
        </w:trPr>
        <w:tc>
          <w:tcPr>
            <w:tcW w:w="759" w:type="dxa"/>
            <w:vMerge/>
            <w:tcBorders>
              <w:top w:val="single" w:color="00000a" w:sz="1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Итого объем финансового обеспечения,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предусмотренного на заключение контрактов   </w:t>
            </w:r>
          </w:p>
        </w:tc>
        <w:tc>
          <w:tcPr>
            <w:tcW w:w="4560" w:type="dxa"/>
            <w:gridSpan w:val="7"/>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68"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173"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216"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760" w:type="dxa"/>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c>
          <w:tcPr>
            <w:tcW w:w="1277" w:type="dxa"/>
            <w:gridSpan w:val="2"/>
            <w:tcBorders>
              <w:top w:val="single" w:color="000000" w:sz="0"/>
              <w:left w:val="single" w:color="00000a" w:sz="10"/>
              <w:bottom w:val="single" w:color="00000a" w:sz="10"/>
              <w:right w:val="single" w:color="00000a" w:sz="10"/>
            </w:tcBorders>
            <w:shd w:color="000000" w:fill="ffffff" w:val="clear"/>
            <w:tcMar>
              <w:left w:w="74" w:type="dxa"/>
              <w:right w:w="74"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X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 </w:t>
        <w:tab/>
        <w:tab/>
        <w:t xml:space="preserve">         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должность исполнителя)</w:t>
        <w:tab/>
        <w:tab/>
        <w:tab/>
        <w:tab/>
        <w:t xml:space="preserve">          (подпись)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 </w:t>
        <w:tab/>
        <w:tab/>
        <w:t xml:space="preserve">         ___________ </w:t>
        <w:tab/>
        <w:t xml:space="preserve">                  "__" ___________ 20___ </w:t>
      </w:r>
      <w:r>
        <w:rPr>
          <w:rFonts w:ascii="Times New Roman" w:hAnsi="Times New Roman" w:cs="Times New Roman" w:eastAsia="Times New Roman"/>
          <w:color w:val="auto"/>
          <w:spacing w:val="0"/>
          <w:position w:val="0"/>
          <w:sz w:val="24"/>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Ф.И.О., должность руководителя</w:t>
        <w:tab/>
        <w:tab/>
        <w:tab/>
        <w:t xml:space="preserve">                       (подпись)      </w:t>
        <w:tab/>
        <w:t xml:space="preserve">                       (дата утверждения)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уполномоченного должностного лица) заказчика) </w:t>
        <w:tab/>
        <w:t xml:space="preserve">   МП</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&lt;*&gt; </w:t>
      </w:r>
      <w:r>
        <w:rPr>
          <w:rFonts w:ascii="Times New Roman" w:hAnsi="Times New Roman" w:cs="Times New Roman" w:eastAsia="Times New Roman"/>
          <w:color w:val="auto"/>
          <w:spacing w:val="0"/>
          <w:position w:val="0"/>
          <w:sz w:val="20"/>
          <w:shd w:fill="auto" w:val="clear"/>
        </w:rPr>
        <w:t xml:space="preserve">Графа заполняется в случае, если планируемая закупка включена в муниципальную программу</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Par98" Id="docRId3" Type="http://schemas.openxmlformats.org/officeDocument/2006/relationships/hyperlink"/><Relationship Target="numbering.xml" Id="docRId7" Type="http://schemas.openxmlformats.org/officeDocument/2006/relationships/numbering"/><Relationship TargetMode="External" Target="#Par39" Id="docRId0" Type="http://schemas.openxmlformats.org/officeDocument/2006/relationships/hyperlink"/><Relationship TargetMode="External" Target="#Par91" Id="docRId2" Type="http://schemas.openxmlformats.org/officeDocument/2006/relationships/hyperlink"/><Relationship TargetMode="External" Target="#Par93" Id="docRId4" Type="http://schemas.openxmlformats.org/officeDocument/2006/relationships/hyperlink"/><Relationship TargetMode="External" Target="#Par184" Id="docRId6" Type="http://schemas.openxmlformats.org/officeDocument/2006/relationships/hyperlink"/><Relationship Target="styles.xml" Id="docRId8" Type="http://schemas.openxmlformats.org/officeDocument/2006/relationships/styles"/><Relationship TargetMode="External" Target="#Par39" Id="docRId1" Type="http://schemas.openxmlformats.org/officeDocument/2006/relationships/hyperlink"/><Relationship TargetMode="External" Target="#Par94" Id="docRId5" Type="http://schemas.openxmlformats.org/officeDocument/2006/relationships/hyperlink"/></Relationships>
</file>